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4117" w:type="dxa"/>
        <w:tblInd w:w="0"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
      <w:tblGrid>
        <w:gridCol w:w="7469"/>
        <w:gridCol w:w="664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495" w:hRule="atLeast"/>
          <w:tblHeader/>
        </w:trPr>
        <w:tc>
          <w:tcPr>
            <w:tcW w:w="14117" w:type="dxa"/>
            <w:gridSpan w:val="2"/>
            <w:tcBorders>
              <w:top w:val="nil"/>
              <w:left w:val="nil"/>
              <w:bottom w:val="single" w:color="000000" w:sz="4" w:space="0"/>
              <w:right w:val="nil"/>
            </w:tcBorders>
            <w:vAlign w:val="center"/>
          </w:tcPr>
          <w:p>
            <w:r>
              <w:rPr>
                <w:rFonts w:hint="eastAsia"/>
              </w:rPr>
              <w:t>附件</w:t>
            </w:r>
            <w:r>
              <w:t>1</w:t>
            </w:r>
          </w:p>
          <w:p>
            <w:pPr>
              <w:spacing w:line="360" w:lineRule="exact"/>
              <w:jc w:val="center"/>
              <w:rPr>
                <w:rFonts w:ascii="Times New Roman" w:hAnsi="Times New Roman"/>
                <w:bCs/>
                <w:sz w:val="24"/>
              </w:rPr>
            </w:pPr>
            <w:r>
              <w:rPr>
                <w:rFonts w:hint="eastAsia" w:ascii="Times New Roman" w:hAnsi="Times New Roman"/>
                <w:b/>
                <w:bCs w:val="0"/>
                <w:sz w:val="28"/>
                <w:szCs w:val="28"/>
                <w:lang w:val="en-US" w:eastAsia="zh-CN"/>
              </w:rPr>
              <w:t>日语</w:t>
            </w:r>
            <w:r>
              <w:rPr>
                <w:rFonts w:hint="eastAsia" w:ascii="Times New Roman" w:hAnsi="Times New Roman"/>
                <w:bCs/>
                <w:sz w:val="24"/>
              </w:rPr>
              <w:t>专业</w:t>
            </w:r>
            <w:r>
              <w:rPr>
                <w:rFonts w:ascii="Times New Roman" w:hAnsi="Times New Roman"/>
                <w:bCs/>
                <w:sz w:val="24"/>
              </w:rPr>
              <w:t>2017</w:t>
            </w:r>
            <w:r>
              <w:rPr>
                <w:rFonts w:hint="eastAsia" w:ascii="Times New Roman" w:hAnsi="Times New Roman"/>
                <w:bCs/>
                <w:sz w:val="24"/>
              </w:rPr>
              <w:t>版</w:t>
            </w:r>
            <w:r>
              <w:rPr>
                <w:rFonts w:hint="eastAsia" w:ascii="Times New Roman" w:hAnsi="Times New Roman"/>
                <w:bCs/>
                <w:sz w:val="24"/>
                <w:lang w:eastAsia="zh-CN"/>
              </w:rPr>
              <w:t>学分制</w:t>
            </w:r>
            <w:r>
              <w:rPr>
                <w:rFonts w:hint="eastAsia" w:ascii="Times New Roman" w:hAnsi="Times New Roman"/>
                <w:bCs/>
                <w:sz w:val="24"/>
              </w:rPr>
              <w:t>培养方案专家评审意见及</w:t>
            </w:r>
            <w:r>
              <w:rPr>
                <w:rFonts w:hint="eastAsia" w:ascii="Times New Roman" w:hAnsi="Times New Roman"/>
                <w:bCs/>
                <w:sz w:val="24"/>
                <w:lang w:eastAsia="zh-CN"/>
              </w:rPr>
              <w:t>专业</w:t>
            </w:r>
            <w:r>
              <w:rPr>
                <w:rFonts w:hint="eastAsia" w:ascii="Times New Roman" w:hAnsi="Times New Roman"/>
                <w:bCs/>
                <w:sz w:val="24"/>
              </w:rPr>
              <w:t>修改完善自查情况表</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391" w:hRule="atLeast"/>
          <w:tblHeader/>
        </w:trPr>
        <w:tc>
          <w:tcPr>
            <w:tcW w:w="7469" w:type="dxa"/>
            <w:tcBorders>
              <w:top w:val="single" w:color="000000" w:sz="4" w:space="0"/>
              <w:left w:val="single" w:color="000000" w:sz="4" w:space="0"/>
              <w:bottom w:val="single" w:color="auto" w:sz="4" w:space="0"/>
              <w:right w:val="single" w:color="auto"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评审意见</w:t>
            </w:r>
          </w:p>
        </w:tc>
        <w:tc>
          <w:tcPr>
            <w:tcW w:w="6648" w:type="dxa"/>
            <w:tcBorders>
              <w:top w:val="single" w:color="000000" w:sz="4" w:space="0"/>
              <w:left w:val="single" w:color="auto" w:sz="4" w:space="0"/>
              <w:bottom w:val="single" w:color="auto" w:sz="4" w:space="0"/>
              <w:right w:val="single" w:color="000000" w:sz="4" w:space="0"/>
            </w:tcBorders>
          </w:tcPr>
          <w:p>
            <w:pPr>
              <w:spacing w:line="460" w:lineRule="exact"/>
              <w:jc w:val="center"/>
              <w:rPr>
                <w:rFonts w:ascii="Times New Roman" w:hAnsi="Times New Roman" w:eastAsia="黑体"/>
                <w:bCs/>
                <w:sz w:val="24"/>
              </w:rPr>
            </w:pPr>
            <w:r>
              <w:rPr>
                <w:rFonts w:hint="eastAsia" w:ascii="Times New Roman" w:hAnsi="Times New Roman" w:eastAsia="黑体"/>
                <w:bCs/>
                <w:sz w:val="24"/>
              </w:rPr>
              <w:t>修改完善的具体措施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left"/>
              <w:textAlignment w:val="auto"/>
              <w:outlineLvl w:val="9"/>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1.</w:t>
            </w:r>
            <w:r>
              <w:rPr>
                <w:rFonts w:hint="eastAsia" w:ascii="宋体" w:hAnsi="宋体" w:eastAsia="宋体" w:cs="宋体"/>
                <w:sz w:val="24"/>
                <w:szCs w:val="24"/>
              </w:rPr>
              <w:t>专业人才培养目标的设定比较宽泛，建议</w:t>
            </w:r>
            <w:r>
              <w:rPr>
                <w:rFonts w:hint="eastAsia" w:ascii="宋体" w:hAnsi="宋体" w:eastAsia="宋体" w:cs="宋体"/>
                <w:sz w:val="24"/>
                <w:szCs w:val="24"/>
                <w:lang w:eastAsia="zh-CN"/>
              </w:rPr>
              <w:t>准确定位，</w:t>
            </w:r>
            <w:r>
              <w:rPr>
                <w:rFonts w:hint="eastAsia" w:ascii="宋体" w:hAnsi="宋体" w:eastAsia="宋体" w:cs="宋体"/>
                <w:sz w:val="24"/>
                <w:szCs w:val="24"/>
              </w:rPr>
              <w:t>在支撑学校人才培养目标的基础上，做更为适合日语专业学生发展方向的准确描述，可以与第二项毕业要求结合起来。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sz w:val="24"/>
              </w:rPr>
            </w:pPr>
            <w:r>
              <w:rPr>
                <w:rFonts w:hint="eastAsia" w:ascii="宋体" w:hAnsi="宋体" w:cs="宋体"/>
                <w:b/>
                <w:bCs/>
                <w:sz w:val="24"/>
                <w:szCs w:val="24"/>
                <w:lang w:val="en-US" w:eastAsia="zh-CN"/>
              </w:rPr>
              <w:t>2.</w:t>
            </w:r>
            <w:r>
              <w:rPr>
                <w:rFonts w:hint="eastAsia" w:ascii="宋体" w:hAnsi="宋体" w:eastAsia="宋体" w:cs="宋体"/>
                <w:b/>
                <w:bCs/>
                <w:sz w:val="24"/>
                <w:szCs w:val="24"/>
                <w:lang w:val="en-US" w:eastAsia="zh-CN"/>
              </w:rPr>
              <w:t>“</w:t>
            </w:r>
            <w:r>
              <w:rPr>
                <w:rFonts w:hint="eastAsia"/>
                <w:b/>
                <w:bCs/>
                <w:color w:val="000000"/>
                <w:kern w:val="2"/>
                <w:sz w:val="24"/>
                <w:szCs w:val="24"/>
              </w:rPr>
              <w:t>培养目标（标准）、毕业要求与课程体系关系表</w:t>
            </w:r>
            <w:r>
              <w:rPr>
                <w:rFonts w:hint="eastAsia"/>
                <w:b/>
                <w:bCs/>
                <w:color w:val="000000"/>
                <w:kern w:val="2"/>
                <w:sz w:val="24"/>
                <w:szCs w:val="24"/>
                <w:lang w:eastAsia="zh-CN"/>
              </w:rPr>
              <w:t>”需要梳理、完善。</w:t>
            </w:r>
            <w:r>
              <w:rPr>
                <w:rFonts w:hint="eastAsia"/>
                <w:b w:val="0"/>
                <w:bCs w:val="0"/>
                <w:color w:val="000000"/>
                <w:kern w:val="2"/>
                <w:sz w:val="24"/>
                <w:szCs w:val="24"/>
                <w:lang w:eastAsia="zh-CN"/>
              </w:rPr>
              <w:t>（</w:t>
            </w:r>
            <w:r>
              <w:rPr>
                <w:rFonts w:hint="eastAsia"/>
                <w:b w:val="0"/>
                <w:bCs w:val="0"/>
                <w:color w:val="000000"/>
                <w:kern w:val="2"/>
                <w:sz w:val="24"/>
                <w:szCs w:val="24"/>
                <w:lang w:val="en-US" w:eastAsia="zh-CN"/>
              </w:rPr>
              <w:t>1）总体上，</w:t>
            </w:r>
            <w:r>
              <w:rPr>
                <w:rFonts w:hint="eastAsia" w:ascii="宋体" w:hAnsi="宋体" w:eastAsia="宋体" w:cs="宋体"/>
                <w:sz w:val="24"/>
                <w:szCs w:val="24"/>
              </w:rPr>
              <w:t>毕业要求</w:t>
            </w:r>
            <w:r>
              <w:rPr>
                <w:rFonts w:hint="eastAsia" w:ascii="宋体" w:hAnsi="宋体" w:eastAsia="宋体" w:cs="宋体"/>
                <w:sz w:val="24"/>
                <w:szCs w:val="24"/>
                <w:lang w:eastAsia="zh-CN"/>
              </w:rPr>
              <w:t>要</w:t>
            </w:r>
            <w:r>
              <w:rPr>
                <w:rFonts w:hint="eastAsia" w:ascii="宋体" w:hAnsi="宋体" w:eastAsia="宋体" w:cs="宋体"/>
                <w:sz w:val="24"/>
                <w:szCs w:val="24"/>
              </w:rPr>
              <w:t>充分体现专业核心内容</w:t>
            </w:r>
            <w:r>
              <w:rPr>
                <w:rFonts w:hint="eastAsia" w:ascii="宋体" w:hAnsi="宋体" w:eastAsia="宋体" w:cs="宋体"/>
                <w:sz w:val="24"/>
                <w:szCs w:val="24"/>
                <w:lang w:eastAsia="zh-CN"/>
              </w:rPr>
              <w:t>，</w:t>
            </w:r>
            <w:r>
              <w:rPr>
                <w:rFonts w:hint="eastAsia" w:ascii="宋体" w:hAnsi="宋体" w:cs="宋体"/>
                <w:sz w:val="24"/>
                <w:szCs w:val="24"/>
                <w:lang w:eastAsia="zh-CN"/>
              </w:rPr>
              <w:t>全面反映人才培养目标内涵；指标点应全面覆盖毕业要求。应</w:t>
            </w:r>
            <w:r>
              <w:rPr>
                <w:rFonts w:hint="eastAsia" w:ascii="宋体" w:hAnsi="宋体" w:eastAsia="宋体" w:cs="宋体"/>
                <w:sz w:val="24"/>
                <w:szCs w:val="24"/>
                <w:lang w:eastAsia="zh-CN"/>
              </w:rPr>
              <w:t>注意</w:t>
            </w:r>
            <w:r>
              <w:rPr>
                <w:rFonts w:hint="eastAsia" w:ascii="宋体" w:hAnsi="宋体" w:eastAsia="宋体" w:cs="宋体"/>
                <w:sz w:val="24"/>
                <w:szCs w:val="24"/>
              </w:rPr>
              <w:t>逻辑性和递进性</w:t>
            </w:r>
            <w:r>
              <w:rPr>
                <w:rFonts w:hint="eastAsia" w:ascii="宋体" w:hAnsi="宋体" w:eastAsia="宋体" w:cs="宋体"/>
                <w:sz w:val="24"/>
                <w:szCs w:val="24"/>
                <w:lang w:eastAsia="zh-CN"/>
              </w:rPr>
              <w:t>，避免毕业要求之间、指标点之间内涵的重复</w:t>
            </w:r>
            <w:r>
              <w:rPr>
                <w:rFonts w:hint="eastAsia" w:ascii="宋体" w:hAnsi="宋体" w:cs="宋体"/>
                <w:sz w:val="24"/>
                <w:szCs w:val="24"/>
                <w:lang w:val="en-US" w:eastAsia="zh-CN"/>
              </w:rPr>
              <w:t>,</w:t>
            </w:r>
            <w:r>
              <w:rPr>
                <w:rFonts w:hint="eastAsia" w:ascii="宋体" w:hAnsi="宋体" w:eastAsia="宋体" w:cs="宋体"/>
                <w:sz w:val="24"/>
                <w:szCs w:val="24"/>
                <w:lang w:eastAsia="zh-CN"/>
              </w:rPr>
              <w:t>避免</w:t>
            </w:r>
            <w:r>
              <w:rPr>
                <w:rFonts w:hint="eastAsia" w:ascii="宋体" w:hAnsi="宋体" w:eastAsia="宋体" w:cs="宋体"/>
                <w:sz w:val="24"/>
                <w:szCs w:val="24"/>
              </w:rPr>
              <w:t>毕业要求</w:t>
            </w:r>
            <w:r>
              <w:rPr>
                <w:rFonts w:hint="eastAsia" w:ascii="宋体" w:hAnsi="宋体" w:eastAsia="宋体" w:cs="宋体"/>
                <w:sz w:val="24"/>
                <w:szCs w:val="24"/>
                <w:lang w:eastAsia="zh-CN"/>
              </w:rPr>
              <w:t>与</w:t>
            </w:r>
            <w:r>
              <w:rPr>
                <w:rFonts w:hint="eastAsia" w:ascii="宋体" w:hAnsi="宋体" w:eastAsia="宋体" w:cs="宋体"/>
                <w:sz w:val="24"/>
                <w:szCs w:val="24"/>
              </w:rPr>
              <w:t>课程设置</w:t>
            </w:r>
            <w:r>
              <w:rPr>
                <w:rFonts w:hint="eastAsia" w:ascii="宋体" w:hAnsi="宋体" w:eastAsia="宋体" w:cs="宋体"/>
                <w:sz w:val="24"/>
                <w:szCs w:val="24"/>
                <w:lang w:eastAsia="zh-CN"/>
              </w:rPr>
              <w:t>之间的</w:t>
            </w:r>
            <w:r>
              <w:rPr>
                <w:rFonts w:hint="eastAsia" w:ascii="宋体" w:hAnsi="宋体" w:eastAsia="宋体" w:cs="宋体"/>
                <w:sz w:val="24"/>
                <w:szCs w:val="24"/>
              </w:rPr>
              <w:t>剥离。</w:t>
            </w:r>
            <w:r>
              <w:rPr>
                <w:rFonts w:hint="eastAsia" w:ascii="宋体" w:hAnsi="宋体"/>
                <w:sz w:val="24"/>
                <w:lang w:eastAsia="zh-CN"/>
              </w:rPr>
              <w:t>本专业“</w:t>
            </w:r>
            <w:r>
              <w:rPr>
                <w:rFonts w:hint="eastAsia" w:ascii="宋体" w:hAnsi="宋体"/>
                <w:sz w:val="24"/>
              </w:rPr>
              <w:t>关系表</w:t>
            </w:r>
            <w:r>
              <w:rPr>
                <w:rFonts w:hint="eastAsia" w:ascii="宋体" w:hAnsi="宋体"/>
                <w:sz w:val="24"/>
                <w:lang w:eastAsia="zh-CN"/>
              </w:rPr>
              <w:t>”</w:t>
            </w:r>
            <w:r>
              <w:rPr>
                <w:rFonts w:hint="eastAsia" w:ascii="宋体" w:hAnsi="宋体"/>
                <w:sz w:val="24"/>
              </w:rPr>
              <w:t>中，指标点</w:t>
            </w:r>
            <w:r>
              <w:rPr>
                <w:rFonts w:hint="eastAsia" w:ascii="宋体" w:hAnsi="宋体"/>
                <w:sz w:val="24"/>
                <w:lang w:eastAsia="zh-CN"/>
              </w:rPr>
              <w:t>能否全面支撑毕业要求和培养目标，</w:t>
            </w:r>
            <w:r>
              <w:rPr>
                <w:rFonts w:hint="eastAsia" w:ascii="宋体" w:hAnsi="宋体"/>
                <w:sz w:val="24"/>
              </w:rPr>
              <w:t>有待斟酌和商榷，需要认真考虑他们之间的内涵和区分点；毕业要求、指标点、课程设置之间的内在逻辑关系有待进一步深思、斟酌。在《广东海洋大学关于学分制人才培养方案修订工作的指导意见》中，有关各板块课程的设计与能力培养之间的关系有了较详细的说明介绍，建议结合《广东海洋大学关于学分制人才培养方案修订工作的指导意见》来描述人才培养目标及要求。</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sz w:val="24"/>
                <w:lang w:val="en-US" w:eastAsia="zh-CN"/>
              </w:rPr>
            </w:pPr>
            <w:r>
              <w:rPr>
                <w:rFonts w:hint="eastAsia" w:ascii="宋体" w:hAnsi="宋体"/>
                <w:sz w:val="24"/>
                <w:lang w:eastAsia="zh-CN"/>
              </w:rPr>
              <w:t>（</w:t>
            </w:r>
            <w:r>
              <w:rPr>
                <w:rFonts w:hint="eastAsia" w:ascii="宋体" w:hAnsi="宋体"/>
                <w:sz w:val="24"/>
                <w:lang w:val="en-US" w:eastAsia="zh-CN"/>
              </w:rPr>
              <w:t>2）课程设置不能同时笼统对应多个指标点。</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val="0"/>
                <w:bCs/>
                <w:color w:val="000000"/>
                <w:sz w:val="24"/>
                <w:szCs w:val="24"/>
                <w:lang w:eastAsia="zh-CN"/>
              </w:rPr>
            </w:pPr>
            <w:r>
              <w:rPr>
                <w:rFonts w:hint="eastAsia" w:ascii="宋体" w:hAnsi="宋体" w:eastAsia="宋体" w:cs="宋体"/>
                <w:sz w:val="24"/>
                <w:szCs w:val="24"/>
                <w:lang w:eastAsia="zh-CN"/>
              </w:rPr>
              <w:t>（</w:t>
            </w:r>
            <w:r>
              <w:rPr>
                <w:rFonts w:hint="eastAsia" w:ascii="宋体" w:hAnsi="宋体" w:cs="宋体"/>
                <w:sz w:val="24"/>
                <w:szCs w:val="24"/>
                <w:lang w:val="en-US" w:eastAsia="zh-CN"/>
              </w:rPr>
              <w:t>3</w:t>
            </w:r>
            <w:r>
              <w:rPr>
                <w:rFonts w:hint="eastAsia" w:ascii="宋体" w:hAnsi="宋体" w:eastAsia="宋体" w:cs="宋体"/>
                <w:sz w:val="24"/>
                <w:szCs w:val="24"/>
                <w:lang w:val="en-US" w:eastAsia="zh-CN"/>
              </w:rPr>
              <w:t>）</w:t>
            </w:r>
            <w:r>
              <w:rPr>
                <w:rFonts w:hint="eastAsia" w:ascii="宋体" w:hAnsi="宋体" w:eastAsia="宋体" w:cs="宋体"/>
                <w:b w:val="0"/>
                <w:bCs/>
                <w:color w:val="000000"/>
                <w:sz w:val="24"/>
                <w:szCs w:val="24"/>
                <w:lang w:eastAsia="zh-CN"/>
              </w:rPr>
              <w:t>要将培养方案中每一门课程（含实践环节）列入关系表中，体现每一门课程对培养目标、毕业要求的贡献度。</w:t>
            </w: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leftChars="0" w:right="0" w:rightChars="0"/>
              <w:jc w:val="both"/>
              <w:textAlignment w:val="auto"/>
              <w:rPr>
                <w:rFonts w:hint="eastAsia" w:ascii="宋体" w:hAnsi="宋体" w:eastAsia="宋体" w:cs="宋体"/>
                <w:b/>
                <w:bCs/>
                <w:sz w:val="24"/>
                <w:szCs w:val="24"/>
                <w:lang w:val="en-US" w:eastAsia="zh-CN"/>
              </w:rPr>
            </w:pPr>
            <w:r>
              <w:rPr>
                <w:rFonts w:hint="eastAsia" w:ascii="宋体" w:hAnsi="宋体" w:eastAsia="宋体" w:cs="宋体"/>
                <w:b w:val="0"/>
                <w:bCs/>
                <w:color w:val="000000"/>
                <w:sz w:val="24"/>
                <w:szCs w:val="24"/>
                <w:lang w:eastAsia="zh-CN"/>
              </w:rPr>
              <w:t>（</w:t>
            </w:r>
            <w:r>
              <w:rPr>
                <w:rFonts w:hint="eastAsia" w:ascii="宋体" w:hAnsi="宋体" w:cs="宋体"/>
                <w:b w:val="0"/>
                <w:bCs/>
                <w:color w:val="000000"/>
                <w:sz w:val="24"/>
                <w:szCs w:val="24"/>
                <w:lang w:val="en-US" w:eastAsia="zh-CN"/>
              </w:rPr>
              <w:t>4</w:t>
            </w:r>
            <w:r>
              <w:rPr>
                <w:rFonts w:hint="eastAsia" w:ascii="宋体" w:hAnsi="宋体" w:eastAsia="宋体" w:cs="宋体"/>
                <w:b w:val="0"/>
                <w:bCs/>
                <w:color w:val="000000"/>
                <w:sz w:val="24"/>
                <w:szCs w:val="24"/>
                <w:lang w:val="en-US" w:eastAsia="zh-CN"/>
              </w:rPr>
              <w:t>）</w:t>
            </w:r>
            <w:r>
              <w:rPr>
                <w:rFonts w:hint="eastAsia" w:ascii="宋体" w:hAnsi="宋体" w:eastAsia="宋体" w:cs="宋体"/>
                <w:b w:val="0"/>
                <w:bCs/>
                <w:color w:val="000000"/>
                <w:sz w:val="24"/>
                <w:szCs w:val="24"/>
                <w:lang w:eastAsia="zh-CN"/>
              </w:rPr>
              <w:t>关</w:t>
            </w:r>
            <w:r>
              <w:rPr>
                <w:rFonts w:hint="eastAsia" w:ascii="宋体" w:hAnsi="宋体" w:eastAsia="宋体" w:cs="宋体"/>
                <w:b w:val="0"/>
                <w:bCs/>
                <w:color w:val="000000"/>
                <w:kern w:val="2"/>
                <w:sz w:val="24"/>
                <w:szCs w:val="24"/>
                <w:lang w:eastAsia="zh-CN"/>
              </w:rPr>
              <w:t>系表中所列课程不能全面支撑指标点内涵，非常单薄</w:t>
            </w:r>
            <w:r>
              <w:rPr>
                <w:rFonts w:hint="eastAsia" w:ascii="宋体" w:hAnsi="宋体" w:cs="宋体"/>
                <w:b w:val="0"/>
                <w:bCs/>
                <w:color w:val="000000"/>
                <w:kern w:val="2"/>
                <w:sz w:val="24"/>
                <w:szCs w:val="24"/>
                <w:lang w:eastAsia="zh-CN"/>
              </w:rPr>
              <w:t>。</w:t>
            </w:r>
            <w:r>
              <w:rPr>
                <w:rFonts w:hint="eastAsia" w:ascii="宋体" w:hAnsi="宋体" w:eastAsia="宋体" w:cs="宋体"/>
                <w:b w:val="0"/>
                <w:bCs/>
                <w:color w:val="000000"/>
                <w:kern w:val="2"/>
                <w:sz w:val="24"/>
                <w:szCs w:val="24"/>
                <w:lang w:eastAsia="zh-CN"/>
              </w:rPr>
              <w:t>同一门课程可以支撑多个指标点和毕业要求</w:t>
            </w:r>
            <w:r>
              <w:rPr>
                <w:rFonts w:hint="eastAsia" w:ascii="宋体" w:hAnsi="宋体" w:cs="宋体"/>
                <w:b w:val="0"/>
                <w:bCs/>
                <w:color w:val="000000"/>
                <w:sz w:val="24"/>
                <w:szCs w:val="24"/>
                <w:lang w:eastAsia="zh-CN"/>
              </w:rPr>
              <w:t>。</w:t>
            </w:r>
            <w:r>
              <w:rPr>
                <w:rFonts w:hint="eastAsia" w:ascii="宋体" w:hAnsi="宋体" w:cs="宋体"/>
                <w:b w:val="0"/>
                <w:bCs/>
                <w:color w:val="000000"/>
                <w:kern w:val="2"/>
                <w:sz w:val="24"/>
                <w:szCs w:val="24"/>
                <w:lang w:eastAsia="zh-CN"/>
              </w:rPr>
              <w:t>建议将关系表进一步梳理、检查。</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420" w:firstLineChars="200"/>
              <w:rPr>
                <w:rFonts w:hint="eastAsia" w:ascii="宋体" w:hAnsi="宋体"/>
                <w:kern w:val="0"/>
                <w:szCs w:val="21"/>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3.</w:t>
            </w:r>
            <w:r>
              <w:rPr>
                <w:rFonts w:hint="eastAsia" w:ascii="宋体" w:hAnsi="宋体" w:eastAsia="宋体" w:cs="宋体"/>
                <w:sz w:val="24"/>
                <w:szCs w:val="24"/>
                <w:lang w:val="en-US" w:eastAsia="zh-CN"/>
              </w:rPr>
              <w:t>专业核心课程：</w:t>
            </w:r>
            <w:r>
              <w:rPr>
                <w:rFonts w:hint="eastAsia" w:ascii="宋体" w:hAnsi="宋体" w:cs="宋体"/>
                <w:sz w:val="24"/>
                <w:szCs w:val="24"/>
                <w:lang w:val="en-US" w:eastAsia="zh-CN"/>
              </w:rPr>
              <w:t>（1）总学分比列过高；（2）</w:t>
            </w:r>
            <w:r>
              <w:rPr>
                <w:rFonts w:hint="eastAsia" w:ascii="宋体" w:hAnsi="宋体" w:eastAsia="宋体" w:cs="宋体"/>
                <w:sz w:val="24"/>
                <w:szCs w:val="24"/>
                <w:lang w:eastAsia="zh-CN"/>
              </w:rPr>
              <w:t>部分课程学时可以调整，</w:t>
            </w:r>
            <w:r>
              <w:rPr>
                <w:rFonts w:hint="eastAsia" w:ascii="宋体" w:hAnsi="宋体" w:eastAsia="宋体" w:cs="宋体"/>
                <w:sz w:val="24"/>
                <w:szCs w:val="24"/>
              </w:rPr>
              <w:t>在基础阶段增加会话或口语课程，以满足听说读写译的日语专业要求。</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left"/>
              <w:textAlignment w:val="auto"/>
              <w:outlineLvl w:val="9"/>
              <w:rPr>
                <w:rFonts w:hint="eastAsia" w:ascii="宋体" w:hAnsi="宋体" w:cs="宋体"/>
                <w:sz w:val="24"/>
                <w:lang w:val="en-US" w:eastAsia="zh-CN"/>
              </w:rPr>
            </w:pPr>
            <w:r>
              <w:rPr>
                <w:rFonts w:hint="eastAsia" w:ascii="宋体" w:hAnsi="宋体" w:cs="宋体"/>
                <w:sz w:val="24"/>
                <w:szCs w:val="24"/>
                <w:lang w:val="en-US" w:eastAsia="zh-CN"/>
              </w:rPr>
              <w:t>4.</w:t>
            </w:r>
            <w:r>
              <w:rPr>
                <w:rFonts w:hint="eastAsia" w:ascii="宋体" w:hAnsi="宋体" w:eastAsia="宋体" w:cs="宋体"/>
                <w:sz w:val="24"/>
                <w:szCs w:val="24"/>
              </w:rPr>
              <w:t>建议将</w:t>
            </w:r>
            <w:r>
              <w:rPr>
                <w:rFonts w:hint="eastAsia" w:ascii="宋体" w:hAnsi="宋体" w:eastAsia="宋体" w:cs="宋体"/>
                <w:sz w:val="24"/>
                <w:szCs w:val="24"/>
                <w:lang w:eastAsia="zh-CN"/>
              </w:rPr>
              <w:t>“</w:t>
            </w:r>
            <w:r>
              <w:rPr>
                <w:rFonts w:hint="eastAsia" w:ascii="宋体" w:hAnsi="宋体" w:eastAsia="宋体" w:cs="宋体"/>
                <w:sz w:val="24"/>
                <w:szCs w:val="24"/>
              </w:rPr>
              <w:t>日语阅读</w:t>
            </w:r>
            <w:r>
              <w:rPr>
                <w:rFonts w:hint="eastAsia" w:ascii="宋体" w:hAnsi="宋体" w:eastAsia="宋体" w:cs="宋体"/>
                <w:sz w:val="24"/>
                <w:szCs w:val="24"/>
                <w:lang w:eastAsia="zh-CN"/>
              </w:rPr>
              <w:t>”</w:t>
            </w:r>
            <w:r>
              <w:rPr>
                <w:rFonts w:hint="eastAsia" w:ascii="宋体" w:hAnsi="宋体" w:eastAsia="宋体" w:cs="宋体"/>
                <w:sz w:val="24"/>
                <w:szCs w:val="24"/>
              </w:rPr>
              <w:t>放到专业教育核心课程中，把</w:t>
            </w:r>
            <w:r>
              <w:rPr>
                <w:rFonts w:hint="eastAsia" w:ascii="宋体" w:hAnsi="宋体" w:eastAsia="宋体" w:cs="宋体"/>
                <w:sz w:val="24"/>
                <w:szCs w:val="24"/>
                <w:lang w:eastAsia="zh-CN"/>
              </w:rPr>
              <w:t>“</w:t>
            </w:r>
            <w:r>
              <w:rPr>
                <w:rFonts w:hint="eastAsia" w:ascii="宋体" w:hAnsi="宋体" w:eastAsia="宋体" w:cs="宋体"/>
                <w:sz w:val="24"/>
                <w:szCs w:val="24"/>
              </w:rPr>
              <w:t>日语高级写作</w:t>
            </w:r>
            <w:r>
              <w:rPr>
                <w:rFonts w:hint="eastAsia" w:ascii="宋体" w:hAnsi="宋体" w:eastAsia="宋体" w:cs="宋体"/>
                <w:sz w:val="24"/>
                <w:szCs w:val="24"/>
                <w:lang w:eastAsia="zh-CN"/>
              </w:rPr>
              <w:t>”</w:t>
            </w:r>
            <w:r>
              <w:rPr>
                <w:rFonts w:hint="eastAsia" w:ascii="宋体" w:hAnsi="宋体" w:eastAsia="宋体" w:cs="宋体"/>
                <w:sz w:val="24"/>
                <w:szCs w:val="24"/>
              </w:rPr>
              <w:t>放到学科专业拓展课程中</w:t>
            </w:r>
            <w:r>
              <w:rPr>
                <w:rFonts w:hint="eastAsia" w:ascii="宋体" w:hAnsi="宋体" w:eastAsia="宋体" w:cs="宋体"/>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5.“</w:t>
            </w:r>
            <w:r>
              <w:rPr>
                <w:rFonts w:hint="eastAsia" w:ascii="宋体" w:hAnsi="宋体" w:eastAsia="宋体" w:cs="宋体"/>
                <w:sz w:val="24"/>
                <w:szCs w:val="24"/>
              </w:rPr>
              <w:t>日本语概论</w:t>
            </w:r>
            <w:r>
              <w:rPr>
                <w:rFonts w:hint="eastAsia" w:ascii="宋体" w:hAnsi="宋体" w:cs="宋体"/>
                <w:sz w:val="24"/>
                <w:szCs w:val="24"/>
                <w:lang w:eastAsia="zh-CN"/>
              </w:rPr>
              <w:t>”</w:t>
            </w:r>
            <w:r>
              <w:rPr>
                <w:rFonts w:hint="eastAsia" w:ascii="宋体" w:hAnsi="宋体" w:eastAsia="宋体" w:cs="宋体"/>
                <w:sz w:val="24"/>
                <w:szCs w:val="24"/>
              </w:rPr>
              <w:t>放到</w:t>
            </w:r>
            <w:r>
              <w:rPr>
                <w:rFonts w:hint="eastAsia" w:ascii="宋体" w:hAnsi="宋体" w:eastAsia="宋体" w:cs="宋体"/>
                <w:sz w:val="24"/>
                <w:szCs w:val="24"/>
                <w:lang w:eastAsia="zh-CN"/>
              </w:rPr>
              <w:t>跨学科基础课模块不合适，</w:t>
            </w:r>
            <w:r>
              <w:rPr>
                <w:rFonts w:hint="eastAsia" w:ascii="宋体" w:hAnsi="宋体" w:eastAsia="宋体" w:cs="宋体"/>
                <w:sz w:val="24"/>
                <w:szCs w:val="24"/>
              </w:rPr>
              <w:t>建议将该课程放到学科专业拓展课程中，</w:t>
            </w:r>
            <w:r>
              <w:rPr>
                <w:rFonts w:hint="eastAsia" w:ascii="宋体" w:hAnsi="宋体" w:eastAsia="宋体" w:cs="宋体"/>
                <w:sz w:val="24"/>
                <w:szCs w:val="24"/>
                <w:lang w:eastAsia="zh-CN"/>
              </w:rPr>
              <w:t>可在跨学科基础课模块设置</w:t>
            </w:r>
            <w:r>
              <w:rPr>
                <w:rFonts w:hint="eastAsia" w:ascii="宋体" w:hAnsi="宋体" w:cs="宋体"/>
                <w:sz w:val="24"/>
                <w:szCs w:val="24"/>
                <w:lang w:eastAsia="zh-CN"/>
              </w:rPr>
              <w:t>的“</w:t>
            </w:r>
            <w:r>
              <w:rPr>
                <w:rFonts w:hint="eastAsia" w:ascii="宋体" w:hAnsi="宋体" w:eastAsia="宋体" w:cs="宋体"/>
                <w:sz w:val="24"/>
                <w:szCs w:val="24"/>
              </w:rPr>
              <w:t>日语教学法</w:t>
            </w:r>
            <w:r>
              <w:rPr>
                <w:rFonts w:hint="eastAsia" w:ascii="宋体" w:hAnsi="宋体" w:cs="宋体"/>
                <w:sz w:val="24"/>
                <w:szCs w:val="24"/>
                <w:lang w:eastAsia="zh-CN"/>
              </w:rPr>
              <w:t>”</w:t>
            </w:r>
            <w:r>
              <w:rPr>
                <w:rFonts w:hint="eastAsia" w:ascii="宋体" w:hAnsi="宋体" w:eastAsia="宋体" w:cs="宋体"/>
                <w:sz w:val="24"/>
                <w:szCs w:val="24"/>
                <w:lang w:eastAsia="zh-CN"/>
              </w:rPr>
              <w:t>作为教育学类课程</w:t>
            </w:r>
            <w:r>
              <w:rPr>
                <w:rFonts w:hint="eastAsia" w:ascii="宋体" w:hAnsi="宋体" w:eastAsia="宋体" w:cs="宋体"/>
                <w:sz w:val="24"/>
                <w:szCs w:val="24"/>
              </w:rPr>
              <w:t>更合理</w:t>
            </w:r>
            <w:r>
              <w:rPr>
                <w:rFonts w:hint="eastAsia" w:ascii="宋体" w:hAnsi="宋体" w:eastAsia="宋体" w:cs="宋体"/>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outlineLvl w:val="9"/>
              <w:rPr>
                <w:rFonts w:hint="eastAsia" w:ascii="宋体" w:hAnsi="宋体" w:cs="宋体"/>
                <w:sz w:val="24"/>
                <w:lang w:val="en-US" w:eastAsia="zh-CN"/>
              </w:rPr>
            </w:pPr>
            <w:r>
              <w:rPr>
                <w:rFonts w:hint="eastAsia" w:ascii="宋体" w:hAnsi="宋体" w:cs="宋体"/>
                <w:sz w:val="24"/>
                <w:lang w:val="en-US" w:eastAsia="zh-CN"/>
              </w:rPr>
              <w:t>6.</w:t>
            </w:r>
            <w:r>
              <w:rPr>
                <w:rFonts w:hint="eastAsia" w:ascii="宋体" w:hAnsi="宋体" w:eastAsia="宋体" w:cs="宋体"/>
                <w:sz w:val="24"/>
                <w:szCs w:val="24"/>
              </w:rPr>
              <w:t>跨学科基础课和学科专业拓展</w:t>
            </w:r>
            <w:r>
              <w:rPr>
                <w:rFonts w:hint="eastAsia" w:ascii="宋体" w:hAnsi="宋体" w:eastAsia="宋体" w:cs="宋体"/>
                <w:sz w:val="24"/>
                <w:szCs w:val="24"/>
                <w:lang w:eastAsia="zh-CN"/>
              </w:rPr>
              <w:t>课，</w:t>
            </w:r>
            <w:r>
              <w:rPr>
                <w:rFonts w:hint="eastAsia" w:ascii="宋体" w:hAnsi="宋体" w:eastAsia="宋体" w:cs="宋体"/>
                <w:sz w:val="24"/>
                <w:szCs w:val="24"/>
              </w:rPr>
              <w:t>应该加大学科交叉的力度，如增设日本经济及商贸课程、</w:t>
            </w:r>
            <w:r>
              <w:rPr>
                <w:rFonts w:hint="eastAsia" w:ascii="宋体" w:hAnsi="宋体" w:eastAsia="宋体" w:cs="宋体"/>
                <w:sz w:val="24"/>
                <w:szCs w:val="24"/>
                <w:lang w:eastAsia="zh-CN"/>
              </w:rPr>
              <w:t>涉海</w:t>
            </w:r>
            <w:r>
              <w:rPr>
                <w:rFonts w:hint="eastAsia" w:ascii="宋体" w:hAnsi="宋体" w:eastAsia="宋体" w:cs="宋体"/>
                <w:sz w:val="24"/>
                <w:szCs w:val="24"/>
              </w:rPr>
              <w:t>相关课程等，</w:t>
            </w:r>
            <w:r>
              <w:rPr>
                <w:rFonts w:hint="eastAsia" w:ascii="宋体" w:hAnsi="宋体" w:eastAsia="宋体" w:cs="宋体"/>
                <w:sz w:val="24"/>
                <w:szCs w:val="24"/>
                <w:lang w:eastAsia="zh-CN"/>
              </w:rPr>
              <w:t>部分课程学时可适当减少（如“</w:t>
            </w:r>
            <w:r>
              <w:rPr>
                <w:rFonts w:hint="eastAsia" w:ascii="宋体" w:hAnsi="宋体" w:eastAsia="宋体" w:cs="宋体"/>
                <w:sz w:val="24"/>
                <w:szCs w:val="24"/>
              </w:rPr>
              <w:t>日本文学概论</w:t>
            </w:r>
            <w:r>
              <w:rPr>
                <w:rFonts w:hint="eastAsia" w:ascii="宋体" w:hAnsi="宋体" w:eastAsia="宋体" w:cs="宋体"/>
                <w:sz w:val="24"/>
                <w:szCs w:val="24"/>
                <w:lang w:eastAsia="zh-CN"/>
              </w:rPr>
              <w:t>”），</w:t>
            </w:r>
            <w:r>
              <w:rPr>
                <w:rFonts w:hint="eastAsia" w:ascii="宋体" w:hAnsi="宋体" w:eastAsia="宋体" w:cs="宋体"/>
                <w:sz w:val="24"/>
                <w:szCs w:val="24"/>
              </w:rPr>
              <w:t>以满足应用型人才培养目标的需求</w:t>
            </w:r>
            <w:r>
              <w:rPr>
                <w:rFonts w:hint="eastAsia" w:ascii="宋体" w:hAnsi="宋体" w:eastAsia="宋体" w:cs="宋体"/>
                <w:sz w:val="24"/>
                <w:szCs w:val="24"/>
                <w:lang w:eastAsia="zh-CN"/>
              </w:rPr>
              <w:t>。</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eastAsia="宋体" w:cs="宋体"/>
                <w:sz w:val="24"/>
                <w:lang w:val="en-US" w:eastAsia="zh-CN"/>
              </w:rPr>
            </w:pPr>
            <w:r>
              <w:rPr>
                <w:rFonts w:hint="eastAsia" w:ascii="宋体" w:hAnsi="宋体" w:cs="宋体"/>
                <w:sz w:val="24"/>
                <w:lang w:val="en-US" w:eastAsia="zh-CN"/>
              </w:rPr>
              <w:t>7.学科专业拓展课的学分过低，至少设置10学分，并增设相关课程，满足学生考研、就业等选课需求。</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592"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textAlignment w:val="auto"/>
              <w:outlineLvl w:val="9"/>
              <w:rPr>
                <w:rFonts w:hint="eastAsia" w:ascii="宋体" w:hAnsi="宋体"/>
                <w:kern w:val="0"/>
                <w:szCs w:val="21"/>
                <w:lang w:val="en-US" w:eastAsia="zh-CN"/>
              </w:rPr>
            </w:pPr>
            <w:r>
              <w:rPr>
                <w:rFonts w:hint="eastAsia" w:ascii="宋体" w:hAnsi="宋体" w:cs="宋体"/>
                <w:b w:val="0"/>
                <w:bCs w:val="0"/>
                <w:sz w:val="24"/>
                <w:szCs w:val="24"/>
                <w:lang w:val="en-US" w:eastAsia="zh-CN"/>
              </w:rPr>
              <w:t>8.建议设置2-3门必修性质的涉海课程，凸显专业的海洋特色。</w:t>
            </w:r>
          </w:p>
        </w:tc>
        <w:tc>
          <w:tcPr>
            <w:tcW w:w="664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Times New Roman" w:hAnsi="Times New Roman"/>
                <w:bCs/>
                <w:sz w:val="24"/>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00" w:lineRule="exact"/>
              <w:ind w:left="0" w:leftChars="0" w:right="0" w:rightChars="0" w:firstLine="0" w:firstLineChars="0"/>
              <w:jc w:val="both"/>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9.</w:t>
            </w:r>
            <w:r>
              <w:rPr>
                <w:rFonts w:hint="eastAsia" w:ascii="宋体" w:hAnsi="宋体"/>
                <w:sz w:val="24"/>
                <w:lang w:eastAsia="zh-CN"/>
              </w:rPr>
              <w:t>建议开设相关创新创业教育专业课程，直接支撑</w:t>
            </w:r>
            <w:r>
              <w:rPr>
                <w:rFonts w:hint="eastAsia" w:ascii="宋体" w:hAnsi="宋体"/>
                <w:sz w:val="24"/>
                <w:lang w:val="en-US" w:eastAsia="zh-CN"/>
              </w:rPr>
              <w:t>学生</w:t>
            </w:r>
            <w:r>
              <w:rPr>
                <w:rFonts w:hint="eastAsia" w:ascii="宋体" w:hAnsi="宋体"/>
                <w:sz w:val="24"/>
                <w:lang w:eastAsia="zh-CN"/>
              </w:rPr>
              <w:t>创新能力的培养，实现创新创业教育与专业教育相结合。</w:t>
            </w:r>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108" w:type="dxa"/>
            <w:bottom w:w="0" w:type="dxa"/>
            <w:right w:w="108" w:type="dxa"/>
          </w:tblCellMar>
        </w:tblPrEx>
        <w:trPr>
          <w:trHeight w:val="758" w:hRule="atLeast"/>
        </w:trPr>
        <w:tc>
          <w:tcPr>
            <w:tcW w:w="7469"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right="0" w:rightChars="0"/>
              <w:jc w:val="left"/>
              <w:textAlignment w:val="auto"/>
              <w:outlineLvl w:val="9"/>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10.</w:t>
            </w:r>
            <w:r>
              <w:rPr>
                <w:rFonts w:hint="eastAsia" w:ascii="宋体" w:hAnsi="宋体" w:eastAsia="宋体" w:cs="宋体"/>
                <w:sz w:val="24"/>
                <w:szCs w:val="24"/>
                <w:lang w:eastAsia="zh-CN"/>
              </w:rPr>
              <w:t>“</w:t>
            </w:r>
            <w:r>
              <w:rPr>
                <w:rFonts w:hint="eastAsia" w:ascii="宋体" w:hAnsi="宋体" w:eastAsia="宋体" w:cs="宋体"/>
                <w:sz w:val="24"/>
                <w:szCs w:val="24"/>
              </w:rPr>
              <w:t>日本文学概论</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64学时，周学时为2，一学期无法完成任务。</w:t>
            </w:r>
            <w:r>
              <w:rPr>
                <w:rFonts w:hint="eastAsia" w:ascii="宋体" w:hAnsi="宋体" w:cs="宋体"/>
                <w:sz w:val="24"/>
                <w:szCs w:val="24"/>
                <w:lang w:val="en-US" w:eastAsia="zh-CN"/>
              </w:rPr>
              <w:t>从</w:t>
            </w:r>
            <w:r>
              <w:rPr>
                <w:rFonts w:hint="eastAsia" w:ascii="宋体" w:hAnsi="宋体" w:eastAsia="宋体" w:cs="宋体"/>
                <w:sz w:val="24"/>
                <w:szCs w:val="24"/>
              </w:rPr>
              <w:t>应用型人才培养目标</w:t>
            </w:r>
            <w:r>
              <w:rPr>
                <w:rFonts w:hint="eastAsia" w:ascii="宋体" w:hAnsi="宋体" w:cs="宋体"/>
                <w:sz w:val="24"/>
                <w:szCs w:val="24"/>
                <w:lang w:eastAsia="zh-CN"/>
              </w:rPr>
              <w:t>出发，建议减少该课程总学时</w:t>
            </w:r>
            <w:r>
              <w:rPr>
                <w:rFonts w:hint="eastAsia" w:ascii="宋体" w:hAnsi="宋体" w:eastAsia="宋体" w:cs="宋体"/>
                <w:sz w:val="24"/>
                <w:szCs w:val="24"/>
                <w:lang w:val="en-US" w:eastAsia="zh-CN"/>
              </w:rPr>
              <w:t>。</w:t>
            </w:r>
            <w:bookmarkStart w:id="0" w:name="_GoBack"/>
            <w:bookmarkEnd w:id="0"/>
          </w:p>
        </w:tc>
        <w:tc>
          <w:tcPr>
            <w:tcW w:w="664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440" w:lineRule="exact"/>
              <w:ind w:right="0" w:rightChars="0"/>
              <w:jc w:val="both"/>
              <w:textAlignment w:val="auto"/>
              <w:outlineLvl w:val="9"/>
              <w:rPr>
                <w:rFonts w:hint="eastAsia" w:ascii="宋体" w:hAnsi="宋体" w:eastAsia="宋体" w:cs="宋体"/>
                <w:sz w:val="24"/>
                <w:lang w:eastAsia="zh-CN"/>
              </w:rPr>
            </w:pPr>
          </w:p>
        </w:tc>
      </w:tr>
    </w:tbl>
    <w:p>
      <w:pPr>
        <w:jc w:val="center"/>
      </w:pPr>
      <w:r>
        <w:rPr>
          <w:rFonts w:hint="eastAsia" w:ascii="宋体" w:hAnsi="宋体"/>
          <w:bCs/>
          <w:sz w:val="24"/>
        </w:rPr>
        <w:t>执笔人：</w:t>
      </w:r>
      <w:r>
        <w:rPr>
          <w:rFonts w:ascii="宋体" w:hAnsi="宋体"/>
          <w:bCs/>
          <w:sz w:val="24"/>
        </w:rPr>
        <w:t xml:space="preserve">                             </w:t>
      </w:r>
      <w:r>
        <w:rPr>
          <w:rFonts w:hint="eastAsia" w:ascii="宋体" w:hAnsi="宋体"/>
          <w:bCs/>
          <w:sz w:val="24"/>
          <w:lang w:val="en-US" w:eastAsia="zh-CN"/>
        </w:rPr>
        <w:t xml:space="preserve">                         </w:t>
      </w:r>
      <w:r>
        <w:rPr>
          <w:rFonts w:hint="eastAsia" w:ascii="宋体" w:hAnsi="宋体"/>
          <w:bCs/>
          <w:sz w:val="24"/>
        </w:rPr>
        <w:t>时间：</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年</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月</w:t>
      </w:r>
      <w:r>
        <w:rPr>
          <w:rFonts w:ascii="宋体" w:hAnsi="宋体"/>
          <w:bCs/>
          <w:sz w:val="24"/>
        </w:rPr>
        <w:t xml:space="preserve"> </w:t>
      </w:r>
      <w:r>
        <w:rPr>
          <w:rFonts w:hint="eastAsia" w:ascii="宋体" w:hAnsi="宋体"/>
          <w:bCs/>
          <w:sz w:val="24"/>
          <w:lang w:val="en-US" w:eastAsia="zh-CN"/>
        </w:rPr>
        <w:t xml:space="preserve">  </w:t>
      </w:r>
      <w:r>
        <w:rPr>
          <w:rFonts w:ascii="宋体" w:hAnsi="宋体"/>
          <w:bCs/>
          <w:sz w:val="24"/>
        </w:rPr>
        <w:t xml:space="preserve"> </w:t>
      </w:r>
      <w:r>
        <w:rPr>
          <w:rFonts w:hint="eastAsia" w:ascii="宋体" w:hAnsi="宋体"/>
          <w:bCs/>
          <w:sz w:val="24"/>
        </w:rPr>
        <w:t>日</w:t>
      </w: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仿宋">
    <w:panose1 w:val="02010609060101010101"/>
    <w:charset w:val="86"/>
    <w:family w:val="auto"/>
    <w:pitch w:val="default"/>
    <w:sig w:usb0="800002BF" w:usb1="38CF7CFA" w:usb2="00000016" w:usb3="00000000" w:csb0="00040001" w:csb1="00000000"/>
  </w:font>
  <w:font w:name="华文行楷">
    <w:altName w:val="微软雅黑"/>
    <w:panose1 w:val="00000000000000000000"/>
    <w:charset w:val="86"/>
    <w:family w:val="auto"/>
    <w:pitch w:val="default"/>
    <w:sig w:usb0="00000000" w:usb1="00000000" w:usb2="00000010" w:usb3="00000000" w:csb0="00040000" w:csb1="00000000"/>
  </w:font>
  <w:font w:name="华文新魏">
    <w:altName w:val="宋体"/>
    <w:panose1 w:val="02010800040101010101"/>
    <w:charset w:val="86"/>
    <w:family w:val="auto"/>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宋体"/>
    <w:panose1 w:val="00000000000000000000"/>
    <w:charset w:val="86"/>
    <w:family w:val="auto"/>
    <w:pitch w:val="default"/>
    <w:sig w:usb0="00000000" w:usb1="00000000" w:usb2="00000010" w:usb3="00000000" w:csb0="00040000" w:csb1="00000000"/>
  </w:font>
  <w:font w:name="汉仪书宋二简">
    <w:altName w:val="SimSun-ExtB"/>
    <w:panose1 w:val="00000000000000000000"/>
    <w:charset w:val="86"/>
    <w:family w:val="modern"/>
    <w:pitch w:val="default"/>
    <w:sig w:usb0="00000000" w:usb1="00000000" w:usb2="00000012"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SimSun-ExtB">
    <w:panose1 w:val="02010609060101010101"/>
    <w:charset w:val="86"/>
    <w:family w:val="auto"/>
    <w:pitch w:val="default"/>
    <w:sig w:usb0="00000001" w:usb1="02000000" w:usb2="00000000" w:usb3="00000000" w:csb0="00040001" w:csb1="00000000"/>
  </w:font>
  <w:font w:name="楷体">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新宋体">
    <w:panose1 w:val="02010609030101010101"/>
    <w:charset w:val="86"/>
    <w:family w:val="modern"/>
    <w:pitch w:val="default"/>
    <w:sig w:usb0="00000003" w:usb1="288F0000" w:usb2="00000006" w:usb3="00000000" w:csb0="00040001" w:csb1="00000000"/>
  </w:font>
  <w:font w:name="Tahoma">
    <w:panose1 w:val="020B0604030504040204"/>
    <w:charset w:val="00"/>
    <w:family w:val="swiss"/>
    <w:pitch w:val="default"/>
    <w:sig w:usb0="E1002EFF" w:usb1="C000605B" w:usb2="00000029" w:usb3="00000000" w:csb0="200101FF" w:csb1="20280000"/>
  </w:font>
  <w:font w:name="Helvetica">
    <w:altName w:val="Arial"/>
    <w:panose1 w:val="020B0604020202020204"/>
    <w:charset w:val="00"/>
    <w:family w:val="swiss"/>
    <w:pitch w:val="default"/>
    <w:sig w:usb0="00000000" w:usb1="00000000" w:usb2="00000009" w:usb3="00000000" w:csb0="000001FF" w:csb1="00000000"/>
  </w:font>
  <w:font w:name="Arial Unicode MS">
    <w:altName w:val="宋体"/>
    <w:panose1 w:val="020B0604020202020204"/>
    <w:charset w:val="86"/>
    <w:family w:val="swiss"/>
    <w:pitch w:val="default"/>
    <w:sig w:usb0="00000000" w:usb1="00000000" w:usb2="0000003F" w:usb3="00000000" w:csb0="003F01FF" w:csb1="00000000"/>
  </w:font>
  <w:font w:name="PMingLiU">
    <w:panose1 w:val="02020500000000000000"/>
    <w:charset w:val="88"/>
    <w:family w:val="roman"/>
    <w:pitch w:val="default"/>
    <w:sig w:usb0="A00002FF" w:usb1="28CFFCFA" w:usb2="00000016" w:usb3="00000000" w:csb0="00100001" w:csb1="00000000"/>
  </w:font>
  <w:font w:name="MS Mincho">
    <w:panose1 w:val="02020609040205080304"/>
    <w:charset w:val="80"/>
    <w:family w:val="modern"/>
    <w:pitch w:val="default"/>
    <w:sig w:usb0="E00002FF" w:usb1="6AC7FDFB" w:usb2="00000012" w:usb3="00000000" w:csb0="4002009F" w:csb1="DFD70000"/>
  </w:font>
  <w:font w:name="方正书宋简体">
    <w:altName w:val="宋体"/>
    <w:panose1 w:val="03000509000000000000"/>
    <w:charset w:val="86"/>
    <w:family w:val="script"/>
    <w:pitch w:val="default"/>
    <w:sig w:usb0="00000000" w:usb1="00000000" w:usb2="00000010" w:usb3="00000000" w:csb0="00040000" w:csb1="00000000"/>
  </w:font>
  <w:font w:name="等线">
    <w:altName w:val="宋体"/>
    <w:panose1 w:val="00000000000000000000"/>
    <w:charset w:val="86"/>
    <w:family w:val="auto"/>
    <w:pitch w:val="default"/>
    <w:sig w:usb0="00000000" w:usb1="00000000" w:usb2="00000016" w:usb3="00000000" w:csb0="0004000F" w:csb1="00000000"/>
  </w:font>
  <w:font w:name="他">
    <w:altName w:val="宋体"/>
    <w:panose1 w:val="00000000000000000000"/>
    <w:charset w:val="86"/>
    <w:family w:val="roman"/>
    <w:pitch w:val="default"/>
    <w:sig w:usb0="00000000" w:usb1="00000000" w:usb2="00000000" w:usb3="00000000" w:csb0="00000000" w:csb1="00000000"/>
  </w:font>
  <w:font w:name="瀹嬩綋">
    <w:altName w:val="宋体"/>
    <w:panose1 w:val="00000000000000000000"/>
    <w:charset w:val="86"/>
    <w:family w:val="roman"/>
    <w:pitch w:val="default"/>
    <w:sig w:usb0="00000000" w:usb1="00000000" w:usb2="0000001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 w:name="Verdana">
    <w:panose1 w:val="020B0604030504040204"/>
    <w:charset w:val="00"/>
    <w:family w:val="swiss"/>
    <w:pitch w:val="default"/>
    <w:sig w:usb0="A10006FF" w:usb1="4000205B" w:usb2="00000010" w:usb3="00000000" w:csb0="2000019F" w:csb1="00000000"/>
  </w:font>
  <w:font w:name="American Typewriter">
    <w:altName w:val="MV Boli"/>
    <w:panose1 w:val="00000000000000000000"/>
    <w:charset w:val="00"/>
    <w:family w:val="auto"/>
    <w:pitch w:val="default"/>
    <w:sig w:usb0="00000000" w:usb1="00000000" w:usb2="00000000" w:usb3="00000000" w:csb0="00000111" w:csb1="00000000"/>
  </w:font>
  <w:font w:name="楷体_GB2312">
    <w:altName w:val="楷体"/>
    <w:panose1 w:val="02010609030101010101"/>
    <w:charset w:val="86"/>
    <w:family w:val="modern"/>
    <w:pitch w:val="default"/>
    <w:sig w:usb0="00000000" w:usb1="00000000" w:usb2="00000010" w:usb3="00000000" w:csb0="00040000" w:csb1="00000000"/>
  </w:font>
  <w:font w:name="方正宋黑简体">
    <w:altName w:val="宋体"/>
    <w:panose1 w:val="03000509000000000000"/>
    <w:charset w:val="86"/>
    <w:family w:val="script"/>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华文隶书">
    <w:altName w:val="微软雅黑"/>
    <w:panose1 w:val="02010800040101010101"/>
    <w:charset w:val="86"/>
    <w:family w:val="auto"/>
    <w:pitch w:val="default"/>
    <w:sig w:usb0="00000000" w:usb1="00000000" w:usb2="00000010" w:usb3="00000000" w:csb0="00040000" w:csb1="00000000"/>
  </w:font>
  <w:font w:name="MV Boli">
    <w:panose1 w:val="02000500030200090000"/>
    <w:charset w:val="00"/>
    <w:family w:val="auto"/>
    <w:pitch w:val="default"/>
    <w:sig w:usb0="00000003" w:usb1="00000000" w:usb2="00000100" w:usb3="00000000" w:csb0="00000001" w:csb1="00000000"/>
  </w:font>
  <w:font w:name="方正小标宋_GBK">
    <w:altName w:val="微软雅黑"/>
    <w:panose1 w:val="03000509000000000000"/>
    <w:charset w:val="86"/>
    <w:family w:val="script"/>
    <w:pitch w:val="default"/>
    <w:sig w:usb0="00000000" w:usb1="00000000" w:usb2="00000010" w:usb3="00000000" w:csb0="00040000" w:csb1="00000000"/>
  </w:font>
  <w:font w:name="MingLiU">
    <w:panose1 w:val="02020509000000000000"/>
    <w:charset w:val="88"/>
    <w:family w:val="modern"/>
    <w:pitch w:val="default"/>
    <w:sig w:usb0="A00002FF" w:usb1="28CFFCFA" w:usb2="00000016" w:usb3="00000000" w:csb0="00100001" w:csb1="00000000"/>
  </w:font>
  <w:font w:name="Georgia">
    <w:panose1 w:val="02040502050405020303"/>
    <w:charset w:val="00"/>
    <w:family w:val="roman"/>
    <w:pitch w:val="default"/>
    <w:sig w:usb0="00000287" w:usb1="00000000"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A97586"/>
    <w:rsid w:val="010E3A83"/>
    <w:rsid w:val="038C1E9C"/>
    <w:rsid w:val="06B86671"/>
    <w:rsid w:val="07533E9D"/>
    <w:rsid w:val="07ED2627"/>
    <w:rsid w:val="0C1B4C2C"/>
    <w:rsid w:val="0C245C9C"/>
    <w:rsid w:val="0EA86D90"/>
    <w:rsid w:val="102C0A0F"/>
    <w:rsid w:val="117201E8"/>
    <w:rsid w:val="119909E7"/>
    <w:rsid w:val="12DB5170"/>
    <w:rsid w:val="16C47058"/>
    <w:rsid w:val="17830759"/>
    <w:rsid w:val="1AE61066"/>
    <w:rsid w:val="1BDB6B4F"/>
    <w:rsid w:val="224668AD"/>
    <w:rsid w:val="22A56461"/>
    <w:rsid w:val="23C55634"/>
    <w:rsid w:val="26E14A51"/>
    <w:rsid w:val="286315C3"/>
    <w:rsid w:val="28A97586"/>
    <w:rsid w:val="2BB96F1F"/>
    <w:rsid w:val="2BE447B2"/>
    <w:rsid w:val="2EF53201"/>
    <w:rsid w:val="2EFC1D06"/>
    <w:rsid w:val="2FA40A26"/>
    <w:rsid w:val="32484ECD"/>
    <w:rsid w:val="339F1CCA"/>
    <w:rsid w:val="33A81B5C"/>
    <w:rsid w:val="3A13386D"/>
    <w:rsid w:val="3FC10002"/>
    <w:rsid w:val="40362E40"/>
    <w:rsid w:val="405C2FAB"/>
    <w:rsid w:val="4200142C"/>
    <w:rsid w:val="45351B7E"/>
    <w:rsid w:val="466E4269"/>
    <w:rsid w:val="467961A3"/>
    <w:rsid w:val="4D8F6D71"/>
    <w:rsid w:val="51AB73D8"/>
    <w:rsid w:val="51FE4AD9"/>
    <w:rsid w:val="52963093"/>
    <w:rsid w:val="537A24F9"/>
    <w:rsid w:val="57660B22"/>
    <w:rsid w:val="57A530DF"/>
    <w:rsid w:val="581919D7"/>
    <w:rsid w:val="590B752E"/>
    <w:rsid w:val="5A8A533A"/>
    <w:rsid w:val="5C3E6532"/>
    <w:rsid w:val="614B17A5"/>
    <w:rsid w:val="630A4728"/>
    <w:rsid w:val="63DC5CF9"/>
    <w:rsid w:val="68796044"/>
    <w:rsid w:val="6AEB4794"/>
    <w:rsid w:val="6B1F12DC"/>
    <w:rsid w:val="6E517661"/>
    <w:rsid w:val="712850BB"/>
    <w:rsid w:val="72552A18"/>
    <w:rsid w:val="75E12EAE"/>
    <w:rsid w:val="76413CF9"/>
    <w:rsid w:val="7790026F"/>
    <w:rsid w:val="77997E4F"/>
    <w:rsid w:val="77C27E57"/>
    <w:rsid w:val="780B2E9E"/>
    <w:rsid w:val="7A221B81"/>
    <w:rsid w:val="7C4F08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2017-12-21T13:46:00Z</dcterms:created>
  <dc:creator>Administrator</dc:creator>
  <cp:lastModifiedBy>Administrator</cp:lastModifiedBy>
  <cp:lastPrinted>2017-12-22T00:08:00Z</cp:lastPrinted>
  <dcterms:modified xsi:type="dcterms:W3CDTF">2017-12-25T04:54:55Z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